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10F18" w14:textId="41BC585B" w:rsidR="00713232" w:rsidRPr="007C5EC5" w:rsidRDefault="00713232" w:rsidP="00303851">
      <w:pPr>
        <w:pStyle w:val="NoSpacing"/>
        <w:spacing w:line="276" w:lineRule="auto"/>
        <w:jc w:val="both"/>
        <w:rPr>
          <w:b/>
          <w:bCs/>
          <w:sz w:val="28"/>
          <w:szCs w:val="28"/>
        </w:rPr>
      </w:pPr>
      <w:r w:rsidRPr="007C5EC5">
        <w:rPr>
          <w:b/>
          <w:bCs/>
          <w:sz w:val="28"/>
          <w:szCs w:val="28"/>
        </w:rPr>
        <w:t>KYC Policy</w:t>
      </w:r>
    </w:p>
    <w:p w14:paraId="143CF931" w14:textId="1A35E129" w:rsidR="00713232" w:rsidRPr="00207240" w:rsidRDefault="00713232" w:rsidP="00303851">
      <w:pPr>
        <w:pStyle w:val="NoSpacing"/>
        <w:spacing w:line="276" w:lineRule="auto"/>
        <w:jc w:val="both"/>
      </w:pPr>
      <w:r w:rsidRPr="00207240">
        <w:t xml:space="preserve">Last updated: </w:t>
      </w:r>
      <w:r w:rsidR="00195338">
        <w:t>22.8.2024</w:t>
      </w:r>
    </w:p>
    <w:p w14:paraId="437BDD53" w14:textId="77777777" w:rsidR="00713232" w:rsidRPr="00207240" w:rsidRDefault="00713232" w:rsidP="00303851">
      <w:pPr>
        <w:pStyle w:val="NoSpacing"/>
        <w:spacing w:line="276" w:lineRule="auto"/>
        <w:jc w:val="both"/>
      </w:pPr>
    </w:p>
    <w:p w14:paraId="77B1546F" w14:textId="2A190ADA" w:rsidR="00406894" w:rsidRDefault="001561C4" w:rsidP="00406894">
      <w:pPr>
        <w:pStyle w:val="NoSpacing"/>
        <w:spacing w:line="276" w:lineRule="auto"/>
        <w:jc w:val="both"/>
      </w:pPr>
      <w:r w:rsidRPr="00207240">
        <w:t>The Company adheres to and complies with “Know your customer” principles, which aim to prevent financial crime and money laundering through client identification and due diligence.</w:t>
      </w:r>
      <w:r w:rsidRPr="00207240">
        <w:br/>
      </w:r>
      <w:r w:rsidRPr="00207240">
        <w:br/>
      </w:r>
      <w:r w:rsidRPr="00207240">
        <w:rPr>
          <w:lang w:val="en-CA"/>
        </w:rPr>
        <w:t xml:space="preserve">The Company reserves the right, at any time, to ask for any KYC documentation it deems necessary to determine the identity and location of a user </w:t>
      </w:r>
      <w:r w:rsidR="009A4715">
        <w:rPr>
          <w:lang w:val="en-CA"/>
        </w:rPr>
        <w:t>on</w:t>
      </w:r>
      <w:r w:rsidR="00406894">
        <w:rPr>
          <w:lang w:val="en-CA"/>
        </w:rPr>
        <w:t xml:space="preserve"> </w:t>
      </w:r>
      <w:proofErr w:type="gramStart"/>
      <w:r w:rsidR="00406894">
        <w:t>sltmen.com</w:t>
      </w:r>
      <w:proofErr w:type="gramEnd"/>
    </w:p>
    <w:p w14:paraId="69010BB3" w14:textId="77777777" w:rsidR="00406894" w:rsidRDefault="00406894" w:rsidP="00406894">
      <w:pPr>
        <w:pStyle w:val="NoSpacing"/>
        <w:spacing w:line="276" w:lineRule="auto"/>
        <w:jc w:val="both"/>
      </w:pPr>
    </w:p>
    <w:p w14:paraId="682AC916" w14:textId="77777777" w:rsidR="00406894" w:rsidRDefault="00406894" w:rsidP="00406894">
      <w:pPr>
        <w:pStyle w:val="NoSpacing"/>
        <w:spacing w:line="276" w:lineRule="auto"/>
        <w:jc w:val="both"/>
      </w:pPr>
    </w:p>
    <w:p w14:paraId="4263B1EE" w14:textId="4C7142E2" w:rsidR="001561C4" w:rsidRDefault="009A4715" w:rsidP="00303851">
      <w:pPr>
        <w:pStyle w:val="NoSpacing"/>
        <w:spacing w:line="276" w:lineRule="auto"/>
        <w:jc w:val="both"/>
        <w:rPr>
          <w:lang w:val="en-CA"/>
        </w:rPr>
      </w:pPr>
      <w:r w:rsidRPr="009A4715">
        <w:rPr>
          <w:b/>
          <w:bCs/>
        </w:rPr>
        <w:t>(“Website”)</w:t>
      </w:r>
      <w:r>
        <w:rPr>
          <w:lang w:val="en-CA"/>
        </w:rPr>
        <w:t xml:space="preserve">. </w:t>
      </w:r>
      <w:r w:rsidR="001561C4" w:rsidRPr="00207240">
        <w:rPr>
          <w:lang w:val="en-CA"/>
        </w:rPr>
        <w:t>We reserve the right to restrict the service, payment, or withdrawal until identity is sufficiently determined, or for any other reason in our sole discretion based on the legal framework.</w:t>
      </w:r>
    </w:p>
    <w:p w14:paraId="539A7711" w14:textId="77777777" w:rsidR="007C5EC5" w:rsidRPr="00207240" w:rsidRDefault="007C5EC5" w:rsidP="00303851">
      <w:pPr>
        <w:pStyle w:val="NoSpacing"/>
        <w:spacing w:line="276" w:lineRule="auto"/>
        <w:jc w:val="both"/>
        <w:rPr>
          <w:lang w:val="en-CA"/>
        </w:rPr>
      </w:pPr>
    </w:p>
    <w:p w14:paraId="05ADD367" w14:textId="77777777" w:rsidR="001561C4" w:rsidRDefault="001561C4" w:rsidP="00303851">
      <w:pPr>
        <w:pStyle w:val="NoSpacing"/>
        <w:spacing w:line="276" w:lineRule="auto"/>
        <w:jc w:val="both"/>
        <w:rPr>
          <w:lang w:val="en-CA"/>
        </w:rPr>
      </w:pPr>
      <w:r w:rsidRPr="00207240">
        <w:rPr>
          <w:lang w:val="en-CA"/>
        </w:rPr>
        <w:t>We take a risk-based approach and perform strict due diligence checks and ongoing monitoring of all clients, customers, and transactions. As per the money laundering regulations, we utilize three stages of due diligence checks, depending on the risk, transaction, and customer type.</w:t>
      </w:r>
    </w:p>
    <w:p w14:paraId="32EE4577" w14:textId="77777777" w:rsidR="007C5EC5" w:rsidRPr="00207240" w:rsidRDefault="007C5EC5" w:rsidP="00303851">
      <w:pPr>
        <w:pStyle w:val="NoSpacing"/>
        <w:spacing w:line="276" w:lineRule="auto"/>
        <w:jc w:val="both"/>
        <w:rPr>
          <w:lang w:val="en-CA"/>
        </w:rPr>
      </w:pPr>
    </w:p>
    <w:p w14:paraId="7893C505" w14:textId="113C9EC4" w:rsidR="001561C4" w:rsidRPr="00207240" w:rsidRDefault="001561C4" w:rsidP="00303851">
      <w:pPr>
        <w:pStyle w:val="NoSpacing"/>
        <w:spacing w:line="276" w:lineRule="auto"/>
        <w:jc w:val="both"/>
        <w:rPr>
          <w:lang w:val="en-CA"/>
        </w:rPr>
      </w:pPr>
      <w:r w:rsidRPr="00207240">
        <w:rPr>
          <w:b/>
          <w:bCs/>
          <w:lang w:val="en-CA"/>
        </w:rPr>
        <w:t>SDD</w:t>
      </w:r>
      <w:r w:rsidRPr="00207240">
        <w:rPr>
          <w:lang w:val="en-CA"/>
        </w:rPr>
        <w:t xml:space="preserve"> — simplified due diligence is used in instances of extremely low-risk transactions that do not meet the required </w:t>
      </w:r>
      <w:proofErr w:type="gramStart"/>
      <w:r w:rsidRPr="00207240">
        <w:rPr>
          <w:lang w:val="en-CA"/>
        </w:rPr>
        <w:t>thresholds</w:t>
      </w:r>
      <w:proofErr w:type="gramEnd"/>
    </w:p>
    <w:p w14:paraId="57FA5045" w14:textId="77777777" w:rsidR="001561C4" w:rsidRPr="00207240" w:rsidRDefault="001561C4" w:rsidP="00303851">
      <w:pPr>
        <w:pStyle w:val="NoSpacing"/>
        <w:spacing w:line="276" w:lineRule="auto"/>
        <w:jc w:val="both"/>
        <w:rPr>
          <w:lang w:val="en-CA"/>
        </w:rPr>
      </w:pPr>
      <w:r w:rsidRPr="00207240">
        <w:rPr>
          <w:b/>
          <w:bCs/>
          <w:lang w:val="en-CA"/>
        </w:rPr>
        <w:t>CDD</w:t>
      </w:r>
      <w:r w:rsidRPr="00207240">
        <w:rPr>
          <w:lang w:val="en-CA"/>
        </w:rPr>
        <w:t xml:space="preserve"> — customer due diligence is the standard for due diligence checks, used in most cases for verification and </w:t>
      </w:r>
      <w:proofErr w:type="gramStart"/>
      <w:r w:rsidRPr="00207240">
        <w:rPr>
          <w:lang w:val="en-CA"/>
        </w:rPr>
        <w:t>identification</w:t>
      </w:r>
      <w:proofErr w:type="gramEnd"/>
    </w:p>
    <w:p w14:paraId="38E63FDB" w14:textId="77777777" w:rsidR="001561C4" w:rsidRPr="00207240" w:rsidRDefault="001561C4" w:rsidP="00303851">
      <w:pPr>
        <w:pStyle w:val="NoSpacing"/>
        <w:spacing w:line="276" w:lineRule="auto"/>
        <w:jc w:val="both"/>
        <w:rPr>
          <w:lang w:val="en-CA"/>
        </w:rPr>
      </w:pPr>
      <w:r w:rsidRPr="00207240">
        <w:rPr>
          <w:b/>
          <w:bCs/>
          <w:lang w:val="en-CA"/>
        </w:rPr>
        <w:t>EDD</w:t>
      </w:r>
      <w:r w:rsidRPr="00207240">
        <w:rPr>
          <w:lang w:val="en-CA"/>
        </w:rPr>
        <w:t xml:space="preserve"> — Enhanced Due Diligence is used for high-risk customers, large </w:t>
      </w:r>
      <w:proofErr w:type="gramStart"/>
      <w:r w:rsidRPr="00207240">
        <w:rPr>
          <w:lang w:val="en-CA"/>
        </w:rPr>
        <w:t>transactions</w:t>
      </w:r>
      <w:proofErr w:type="gramEnd"/>
      <w:r w:rsidRPr="00207240">
        <w:rPr>
          <w:lang w:val="en-CA"/>
        </w:rPr>
        <w:t xml:space="preserve"> or special cases.</w:t>
      </w:r>
    </w:p>
    <w:p w14:paraId="0346B2D5" w14:textId="742C97C3" w:rsidR="001561C4" w:rsidRPr="00207240" w:rsidRDefault="001561C4" w:rsidP="00303851">
      <w:pPr>
        <w:pStyle w:val="NoSpacing"/>
        <w:spacing w:line="276" w:lineRule="auto"/>
        <w:jc w:val="both"/>
      </w:pPr>
    </w:p>
    <w:p w14:paraId="1510F85E" w14:textId="32853429" w:rsidR="00E85E0B" w:rsidRDefault="008F1C53" w:rsidP="00303851">
      <w:pPr>
        <w:pStyle w:val="NoSpacing"/>
        <w:spacing w:line="276" w:lineRule="auto"/>
        <w:jc w:val="both"/>
      </w:pPr>
      <w:r w:rsidRPr="00207240">
        <w:t>Separately and in addition to the above,</w:t>
      </w:r>
      <w:r w:rsidR="00356624">
        <w:t xml:space="preserve"> </w:t>
      </w:r>
      <w:r w:rsidRPr="00207240">
        <w:t>w</w:t>
      </w:r>
      <w:r w:rsidR="00E85E0B" w:rsidRPr="00207240">
        <w:t xml:space="preserve">hen a user </w:t>
      </w:r>
      <w:r w:rsidR="0038269B" w:rsidRPr="00207240">
        <w:t>makes an aggregate</w:t>
      </w:r>
      <w:r w:rsidR="00F7564A" w:rsidRPr="00207240">
        <w:t xml:space="preserve"> </w:t>
      </w:r>
      <w:r w:rsidR="007F5BF4" w:rsidRPr="00207240">
        <w:t xml:space="preserve">lifetime </w:t>
      </w:r>
      <w:r w:rsidR="00F7564A" w:rsidRPr="00207240">
        <w:t xml:space="preserve">total </w:t>
      </w:r>
      <w:r w:rsidR="0038269B" w:rsidRPr="00207240">
        <w:t xml:space="preserve">of </w:t>
      </w:r>
      <w:r w:rsidR="00F7564A" w:rsidRPr="00207240">
        <w:t>deposits</w:t>
      </w:r>
      <w:r w:rsidR="0038269B" w:rsidRPr="00207240">
        <w:t xml:space="preserve"> exceeding EUR </w:t>
      </w:r>
      <w:r w:rsidR="0085585C" w:rsidRPr="00207240">
        <w:t>5,</w:t>
      </w:r>
      <w:r w:rsidR="007F5BF4" w:rsidRPr="00207240">
        <w:t>0</w:t>
      </w:r>
      <w:r w:rsidR="0038269B" w:rsidRPr="00207240">
        <w:t>00 or</w:t>
      </w:r>
      <w:r w:rsidR="007F5BF4" w:rsidRPr="00207240">
        <w:t xml:space="preserve"> requests</w:t>
      </w:r>
      <w:r w:rsidR="007B05F3" w:rsidRPr="00207240">
        <w:t xml:space="preserve"> a</w:t>
      </w:r>
      <w:r w:rsidR="0038269B" w:rsidRPr="00207240">
        <w:t xml:space="preserve"> </w:t>
      </w:r>
      <w:r w:rsidR="00F7564A" w:rsidRPr="00207240">
        <w:t xml:space="preserve">withdrawal of </w:t>
      </w:r>
      <w:r w:rsidR="0038269B" w:rsidRPr="00207240">
        <w:t>any amount</w:t>
      </w:r>
      <w:r w:rsidR="00F7564A" w:rsidRPr="00207240">
        <w:t xml:space="preserve"> </w:t>
      </w:r>
      <w:r w:rsidR="002840A1">
        <w:t xml:space="preserve">on </w:t>
      </w:r>
      <w:proofErr w:type="gramStart"/>
      <w:r w:rsidR="002840A1">
        <w:t>Website</w:t>
      </w:r>
      <w:r w:rsidR="00E85E0B" w:rsidRPr="00207240">
        <w:t>,</w:t>
      </w:r>
      <w:r w:rsidR="0085585C" w:rsidRPr="00207240">
        <w:t xml:space="preserve"> or</w:t>
      </w:r>
      <w:proofErr w:type="gramEnd"/>
      <w:r w:rsidR="0085585C" w:rsidRPr="00207240">
        <w:t xml:space="preserve"> </w:t>
      </w:r>
      <w:r w:rsidR="00BD5E9B" w:rsidRPr="00207240">
        <w:t>attempts to or completes a transaction that is deemed suspicious,</w:t>
      </w:r>
      <w:r w:rsidR="00E85E0B" w:rsidRPr="00207240">
        <w:t xml:space="preserve"> then </w:t>
      </w:r>
      <w:r w:rsidR="00F7564A" w:rsidRPr="00207240">
        <w:t xml:space="preserve">it is compulsory for them to </w:t>
      </w:r>
      <w:r w:rsidR="00BD5E9B" w:rsidRPr="00207240">
        <w:t xml:space="preserve">complete the full </w:t>
      </w:r>
      <w:r w:rsidR="00F7564A" w:rsidRPr="00207240">
        <w:t xml:space="preserve">KYC process. </w:t>
      </w:r>
      <w:r w:rsidR="00E85E0B" w:rsidRPr="00207240">
        <w:t xml:space="preserve"> </w:t>
      </w:r>
    </w:p>
    <w:p w14:paraId="65597705" w14:textId="77777777" w:rsidR="007C5EC5" w:rsidRPr="00207240" w:rsidRDefault="007C5EC5" w:rsidP="00303851">
      <w:pPr>
        <w:pStyle w:val="NoSpacing"/>
        <w:spacing w:line="276" w:lineRule="auto"/>
        <w:jc w:val="both"/>
      </w:pPr>
    </w:p>
    <w:p w14:paraId="08489B7B" w14:textId="6885A33A" w:rsidR="00E85E0B" w:rsidRPr="00207240" w:rsidRDefault="00E85E0B" w:rsidP="00303851">
      <w:pPr>
        <w:pStyle w:val="NoSpacing"/>
        <w:spacing w:line="276" w:lineRule="auto"/>
        <w:jc w:val="both"/>
      </w:pPr>
      <w:r w:rsidRPr="00207240">
        <w:t>During this process, the user will have to input some basic details about themselves and then upload</w:t>
      </w:r>
      <w:r w:rsidR="009A4715">
        <w:t>:</w:t>
      </w:r>
    </w:p>
    <w:p w14:paraId="300C0347" w14:textId="0DA0DBCC" w:rsidR="00E85E0B" w:rsidRPr="00207240" w:rsidRDefault="007B05F3" w:rsidP="00303851">
      <w:pPr>
        <w:pStyle w:val="NoSpacing"/>
        <w:numPr>
          <w:ilvl w:val="0"/>
          <w:numId w:val="8"/>
        </w:numPr>
        <w:spacing w:line="276" w:lineRule="auto"/>
        <w:jc w:val="both"/>
      </w:pPr>
      <w:r w:rsidRPr="00207240">
        <w:t>copy</w:t>
      </w:r>
      <w:r w:rsidR="00E85E0B" w:rsidRPr="00207240">
        <w:t xml:space="preserve"> of</w:t>
      </w:r>
      <w:r w:rsidRPr="00207240">
        <w:t xml:space="preserve"> Government Issued Photo</w:t>
      </w:r>
      <w:r w:rsidR="00E85E0B" w:rsidRPr="00207240">
        <w:t xml:space="preserve"> ID (in some cases front and back depending on the </w:t>
      </w:r>
      <w:r w:rsidR="00BD5E9B" w:rsidRPr="00207240">
        <w:t>ID</w:t>
      </w:r>
      <w:r w:rsidR="00E85E0B" w:rsidRPr="00207240">
        <w:t>)</w:t>
      </w:r>
    </w:p>
    <w:p w14:paraId="322BAA80" w14:textId="784C050B" w:rsidR="00E85E0B" w:rsidRPr="00207240" w:rsidRDefault="00356624" w:rsidP="00303851">
      <w:pPr>
        <w:pStyle w:val="NoSpacing"/>
        <w:numPr>
          <w:ilvl w:val="0"/>
          <w:numId w:val="8"/>
        </w:numPr>
        <w:spacing w:line="276" w:lineRule="auto"/>
        <w:jc w:val="both"/>
      </w:pPr>
      <w:r>
        <w:t>photo</w:t>
      </w:r>
      <w:r w:rsidR="00E85E0B" w:rsidRPr="00207240">
        <w:t xml:space="preserve"> of themselves holding the ID </w:t>
      </w:r>
    </w:p>
    <w:p w14:paraId="13605F23" w14:textId="0D48ADC5" w:rsidR="009F75A3" w:rsidRPr="00207240" w:rsidRDefault="00356624" w:rsidP="00303851">
      <w:pPr>
        <w:pStyle w:val="NoSpacing"/>
        <w:numPr>
          <w:ilvl w:val="0"/>
          <w:numId w:val="8"/>
        </w:numPr>
        <w:spacing w:line="276" w:lineRule="auto"/>
        <w:jc w:val="both"/>
      </w:pPr>
      <w:r>
        <w:t>b</w:t>
      </w:r>
      <w:r w:rsidR="00E85E0B" w:rsidRPr="00207240">
        <w:t>ank statement/</w:t>
      </w:r>
      <w:r>
        <w:t>u</w:t>
      </w:r>
      <w:r w:rsidR="00E85E0B" w:rsidRPr="00207240">
        <w:t xml:space="preserve">tility </w:t>
      </w:r>
      <w:r w:rsidR="002840A1">
        <w:t>b</w:t>
      </w:r>
      <w:r w:rsidR="00E85E0B" w:rsidRPr="00207240">
        <w:t>ill</w:t>
      </w:r>
    </w:p>
    <w:p w14:paraId="63888923" w14:textId="77777777" w:rsidR="00864091" w:rsidRPr="00207240" w:rsidRDefault="00864091" w:rsidP="00303851">
      <w:pPr>
        <w:pStyle w:val="NoSpacing"/>
        <w:spacing w:line="276" w:lineRule="auto"/>
        <w:jc w:val="both"/>
      </w:pPr>
    </w:p>
    <w:p w14:paraId="76D14017" w14:textId="02EE9CCC" w:rsidR="009A3201" w:rsidRPr="007C5EC5" w:rsidRDefault="009A3201" w:rsidP="00303851">
      <w:pPr>
        <w:pStyle w:val="NoSpacing"/>
        <w:spacing w:line="276" w:lineRule="auto"/>
        <w:jc w:val="both"/>
        <w:rPr>
          <w:rFonts w:eastAsia="Arial"/>
          <w:b/>
          <w:bCs/>
          <w:color w:val="2F5496" w:themeColor="accent1" w:themeShade="BF"/>
          <w:sz w:val="24"/>
          <w:szCs w:val="24"/>
        </w:rPr>
      </w:pPr>
      <w:r w:rsidRPr="007C5EC5">
        <w:rPr>
          <w:rFonts w:eastAsia="Arial"/>
          <w:b/>
          <w:bCs/>
          <w:sz w:val="24"/>
          <w:szCs w:val="24"/>
        </w:rPr>
        <w:t>Guideline for the “KYC Process”</w:t>
      </w:r>
    </w:p>
    <w:p w14:paraId="6165A02A" w14:textId="38348B26" w:rsidR="00717289" w:rsidRPr="007C5EC5" w:rsidRDefault="009A3201" w:rsidP="00303851">
      <w:pPr>
        <w:pStyle w:val="NoSpacing"/>
        <w:numPr>
          <w:ilvl w:val="0"/>
          <w:numId w:val="9"/>
        </w:numPr>
        <w:spacing w:line="276" w:lineRule="auto"/>
        <w:jc w:val="both"/>
        <w:rPr>
          <w:b/>
          <w:bCs/>
        </w:rPr>
      </w:pPr>
      <w:r w:rsidRPr="007C5EC5">
        <w:rPr>
          <w:b/>
          <w:bCs/>
        </w:rPr>
        <w:t>Proof of ID</w:t>
      </w:r>
    </w:p>
    <w:p w14:paraId="21D998FF" w14:textId="663C8652" w:rsidR="007C5EC5" w:rsidRDefault="002840A1" w:rsidP="00303851">
      <w:pPr>
        <w:pStyle w:val="NoSpacing"/>
        <w:numPr>
          <w:ilvl w:val="0"/>
          <w:numId w:val="10"/>
        </w:numPr>
        <w:spacing w:line="276" w:lineRule="auto"/>
        <w:jc w:val="both"/>
      </w:pPr>
      <w:r>
        <w:t xml:space="preserve">Signed </w:t>
      </w:r>
      <w:proofErr w:type="gramStart"/>
      <w:r>
        <w:t>document</w:t>
      </w:r>
      <w:r w:rsidR="007C5EC5">
        <w:t>;</w:t>
      </w:r>
      <w:proofErr w:type="gramEnd"/>
    </w:p>
    <w:p w14:paraId="0B7693BD" w14:textId="4C562D65" w:rsidR="007C5EC5" w:rsidRPr="007C5EC5" w:rsidRDefault="002840A1" w:rsidP="00303851">
      <w:pPr>
        <w:pStyle w:val="NoSpacing"/>
        <w:numPr>
          <w:ilvl w:val="0"/>
          <w:numId w:val="10"/>
        </w:numPr>
        <w:spacing w:line="276" w:lineRule="auto"/>
        <w:jc w:val="both"/>
      </w:pPr>
      <w:r>
        <w:t xml:space="preserve">Issuing </w:t>
      </w:r>
      <w:proofErr w:type="gramStart"/>
      <w:r>
        <w:t>c</w:t>
      </w:r>
      <w:r w:rsidR="009A3201" w:rsidRPr="00207240">
        <w:t xml:space="preserve">ountry </w:t>
      </w:r>
      <w:r>
        <w:t> </w:t>
      </w:r>
      <w:r w:rsidR="009A3201" w:rsidRPr="00207240">
        <w:t>is</w:t>
      </w:r>
      <w:proofErr w:type="gramEnd"/>
      <w:r w:rsidR="009A3201" w:rsidRPr="00207240">
        <w:t xml:space="preserve"> not </w:t>
      </w:r>
      <w:r w:rsidR="00BF2CBC" w:rsidRPr="00207240">
        <w:t>one of the following</w:t>
      </w:r>
      <w:r w:rsidR="009A3201" w:rsidRPr="00207240">
        <w:t xml:space="preserve"> </w:t>
      </w:r>
      <w:r>
        <w:t>r</w:t>
      </w:r>
      <w:r w:rsidR="009A3201" w:rsidRPr="00207240">
        <w:t xml:space="preserve">estricted </w:t>
      </w:r>
      <w:r>
        <w:t>c</w:t>
      </w:r>
      <w:r w:rsidR="009A3201" w:rsidRPr="00207240">
        <w:t>ountr</w:t>
      </w:r>
      <w:r w:rsidR="00BF2CBC" w:rsidRPr="00207240">
        <w:t>ies</w:t>
      </w:r>
      <w:r w:rsidR="009A3201" w:rsidRPr="00207240">
        <w:t xml:space="preserve">: </w:t>
      </w:r>
    </w:p>
    <w:p w14:paraId="27FA467D" w14:textId="77777777" w:rsidR="007C5EC5" w:rsidRDefault="00C4716A" w:rsidP="00303851">
      <w:pPr>
        <w:pStyle w:val="NoSpacing"/>
        <w:numPr>
          <w:ilvl w:val="0"/>
          <w:numId w:val="11"/>
        </w:numPr>
        <w:spacing w:line="276" w:lineRule="auto"/>
        <w:jc w:val="both"/>
      </w:pPr>
      <w:r w:rsidRPr="007C5EC5">
        <w:rPr>
          <w:lang w:val="en-CA"/>
        </w:rPr>
        <w:t>Austria</w:t>
      </w:r>
    </w:p>
    <w:p w14:paraId="0B17762C" w14:textId="77777777" w:rsidR="007C5EC5" w:rsidRDefault="00C4716A" w:rsidP="00303851">
      <w:pPr>
        <w:pStyle w:val="NoSpacing"/>
        <w:numPr>
          <w:ilvl w:val="0"/>
          <w:numId w:val="11"/>
        </w:numPr>
        <w:spacing w:line="276" w:lineRule="auto"/>
        <w:jc w:val="both"/>
      </w:pPr>
      <w:r w:rsidRPr="007C5EC5">
        <w:rPr>
          <w:lang w:val="en-CA"/>
        </w:rPr>
        <w:t xml:space="preserve">France and it’s </w:t>
      </w:r>
      <w:proofErr w:type="gramStart"/>
      <w:r w:rsidRPr="007C5EC5">
        <w:rPr>
          <w:lang w:val="en-CA"/>
        </w:rPr>
        <w:t>territories</w:t>
      </w:r>
      <w:proofErr w:type="gramEnd"/>
      <w:r w:rsidRPr="007C5EC5">
        <w:rPr>
          <w:lang w:val="en-CA"/>
        </w:rPr>
        <w:t xml:space="preserve"> </w:t>
      </w:r>
    </w:p>
    <w:p w14:paraId="3C095322" w14:textId="77777777" w:rsidR="007C5EC5" w:rsidRDefault="00C4716A" w:rsidP="00303851">
      <w:pPr>
        <w:pStyle w:val="NoSpacing"/>
        <w:numPr>
          <w:ilvl w:val="0"/>
          <w:numId w:val="11"/>
        </w:numPr>
        <w:spacing w:line="276" w:lineRule="auto"/>
        <w:jc w:val="both"/>
      </w:pPr>
      <w:r w:rsidRPr="007C5EC5">
        <w:rPr>
          <w:lang w:val="en-CA"/>
        </w:rPr>
        <w:t>Germany</w:t>
      </w:r>
    </w:p>
    <w:p w14:paraId="2E982CFC" w14:textId="77777777" w:rsidR="007C5EC5" w:rsidRDefault="00C4716A" w:rsidP="00303851">
      <w:pPr>
        <w:pStyle w:val="NoSpacing"/>
        <w:numPr>
          <w:ilvl w:val="0"/>
          <w:numId w:val="11"/>
        </w:numPr>
        <w:spacing w:line="276" w:lineRule="auto"/>
        <w:jc w:val="both"/>
      </w:pPr>
      <w:r w:rsidRPr="007C5EC5">
        <w:rPr>
          <w:lang w:val="en-CA"/>
        </w:rPr>
        <w:t xml:space="preserve">Netherlands and it’s </w:t>
      </w:r>
      <w:proofErr w:type="gramStart"/>
      <w:r w:rsidRPr="007C5EC5">
        <w:rPr>
          <w:lang w:val="en-CA"/>
        </w:rPr>
        <w:t>territories</w:t>
      </w:r>
      <w:proofErr w:type="gramEnd"/>
    </w:p>
    <w:p w14:paraId="2090C918" w14:textId="77777777" w:rsidR="007C5EC5" w:rsidRDefault="00C4716A" w:rsidP="00303851">
      <w:pPr>
        <w:pStyle w:val="NoSpacing"/>
        <w:numPr>
          <w:ilvl w:val="0"/>
          <w:numId w:val="11"/>
        </w:numPr>
        <w:spacing w:line="276" w:lineRule="auto"/>
        <w:jc w:val="both"/>
      </w:pPr>
      <w:r w:rsidRPr="007C5EC5">
        <w:rPr>
          <w:lang w:val="en-CA"/>
        </w:rPr>
        <w:t>Spain</w:t>
      </w:r>
    </w:p>
    <w:p w14:paraId="7E3B44AA" w14:textId="77777777" w:rsidR="007C5EC5" w:rsidRDefault="00C4716A" w:rsidP="00303851">
      <w:pPr>
        <w:pStyle w:val="NoSpacing"/>
        <w:numPr>
          <w:ilvl w:val="0"/>
          <w:numId w:val="11"/>
        </w:numPr>
        <w:spacing w:line="276" w:lineRule="auto"/>
        <w:jc w:val="both"/>
      </w:pPr>
      <w:r w:rsidRPr="007C5EC5">
        <w:rPr>
          <w:lang w:val="en-CA"/>
        </w:rPr>
        <w:t>Union of Comoros</w:t>
      </w:r>
    </w:p>
    <w:p w14:paraId="674E75F2" w14:textId="77777777" w:rsidR="007C5EC5" w:rsidRDefault="00C4716A" w:rsidP="00303851">
      <w:pPr>
        <w:pStyle w:val="NoSpacing"/>
        <w:numPr>
          <w:ilvl w:val="0"/>
          <w:numId w:val="11"/>
        </w:numPr>
        <w:spacing w:line="276" w:lineRule="auto"/>
        <w:jc w:val="both"/>
      </w:pPr>
      <w:r w:rsidRPr="007C5EC5">
        <w:rPr>
          <w:lang w:val="en-CA"/>
        </w:rPr>
        <w:t>United Kingdom</w:t>
      </w:r>
    </w:p>
    <w:p w14:paraId="31686A33" w14:textId="77777777" w:rsidR="007C5EC5" w:rsidRDefault="00C4716A" w:rsidP="00303851">
      <w:pPr>
        <w:pStyle w:val="NoSpacing"/>
        <w:numPr>
          <w:ilvl w:val="0"/>
          <w:numId w:val="11"/>
        </w:numPr>
        <w:spacing w:line="276" w:lineRule="auto"/>
        <w:jc w:val="both"/>
      </w:pPr>
      <w:r w:rsidRPr="007C5EC5">
        <w:rPr>
          <w:lang w:val="en-CA"/>
        </w:rPr>
        <w:t xml:space="preserve">USA and it’s </w:t>
      </w:r>
      <w:proofErr w:type="gramStart"/>
      <w:r w:rsidRPr="007C5EC5">
        <w:rPr>
          <w:lang w:val="en-CA"/>
        </w:rPr>
        <w:t>territories</w:t>
      </w:r>
      <w:proofErr w:type="gramEnd"/>
    </w:p>
    <w:p w14:paraId="25B63BEF" w14:textId="77777777" w:rsidR="007C5EC5" w:rsidRDefault="00C4716A" w:rsidP="00303851">
      <w:pPr>
        <w:pStyle w:val="NoSpacing"/>
        <w:numPr>
          <w:ilvl w:val="0"/>
          <w:numId w:val="11"/>
        </w:numPr>
        <w:spacing w:line="276" w:lineRule="auto"/>
        <w:jc w:val="both"/>
      </w:pPr>
      <w:r w:rsidRPr="007C5EC5">
        <w:rPr>
          <w:lang w:val="en-CA"/>
        </w:rPr>
        <w:t xml:space="preserve">All FATF Blacklisted countries, </w:t>
      </w:r>
    </w:p>
    <w:p w14:paraId="4101AC1E" w14:textId="5B2607D4" w:rsidR="00C4716A" w:rsidRPr="007C5EC5" w:rsidRDefault="007C5EC5" w:rsidP="00303851">
      <w:pPr>
        <w:pStyle w:val="NoSpacing"/>
        <w:numPr>
          <w:ilvl w:val="0"/>
          <w:numId w:val="11"/>
        </w:numPr>
        <w:spacing w:line="276" w:lineRule="auto"/>
        <w:jc w:val="both"/>
      </w:pPr>
      <w:r>
        <w:t>a</w:t>
      </w:r>
      <w:proofErr w:type="spellStart"/>
      <w:r w:rsidR="00C4716A" w:rsidRPr="007C5EC5">
        <w:rPr>
          <w:lang w:val="en-CA"/>
        </w:rPr>
        <w:t>ny</w:t>
      </w:r>
      <w:proofErr w:type="spellEnd"/>
      <w:r w:rsidR="00C4716A" w:rsidRPr="007C5EC5">
        <w:rPr>
          <w:lang w:val="en-CA"/>
        </w:rPr>
        <w:t xml:space="preserve"> other jurisdictions deemed prohibited by Anjouan Offshore Financial Authority.</w:t>
      </w:r>
    </w:p>
    <w:p w14:paraId="352E5CBE" w14:textId="7834DC74" w:rsidR="009A3201" w:rsidRPr="00207240" w:rsidRDefault="009A3201" w:rsidP="00303851">
      <w:pPr>
        <w:pStyle w:val="NoSpacing"/>
        <w:spacing w:line="276" w:lineRule="auto"/>
        <w:jc w:val="both"/>
        <w:rPr>
          <w:lang w:val="en-CA"/>
        </w:rPr>
      </w:pPr>
    </w:p>
    <w:p w14:paraId="10C877BA" w14:textId="2118548F" w:rsidR="007C5EC5" w:rsidRDefault="009A3201" w:rsidP="00303851">
      <w:pPr>
        <w:pStyle w:val="NoSpacing"/>
        <w:numPr>
          <w:ilvl w:val="0"/>
          <w:numId w:val="10"/>
        </w:numPr>
        <w:spacing w:line="276" w:lineRule="auto"/>
        <w:jc w:val="both"/>
      </w:pPr>
      <w:r w:rsidRPr="00207240">
        <w:t xml:space="preserve">Full </w:t>
      </w:r>
      <w:r w:rsidR="002840A1">
        <w:t>n</w:t>
      </w:r>
      <w:r w:rsidRPr="00207240">
        <w:t xml:space="preserve">ame matches client’s </w:t>
      </w:r>
      <w:proofErr w:type="gramStart"/>
      <w:r w:rsidRPr="00207240">
        <w:t>name</w:t>
      </w:r>
      <w:r w:rsidR="007C5EC5">
        <w:t>;</w:t>
      </w:r>
      <w:proofErr w:type="gramEnd"/>
    </w:p>
    <w:p w14:paraId="48065605" w14:textId="3D70B5C3" w:rsidR="007C5EC5" w:rsidRDefault="002840A1" w:rsidP="00303851">
      <w:pPr>
        <w:pStyle w:val="NoSpacing"/>
        <w:numPr>
          <w:ilvl w:val="0"/>
          <w:numId w:val="10"/>
        </w:numPr>
        <w:spacing w:line="276" w:lineRule="auto"/>
        <w:jc w:val="both"/>
      </w:pPr>
      <w:r>
        <w:lastRenderedPageBreak/>
        <w:t>D</w:t>
      </w:r>
      <w:r w:rsidRPr="002840A1">
        <w:t xml:space="preserve">ocument is valid for a minimum of 3 </w:t>
      </w:r>
      <w:proofErr w:type="gramStart"/>
      <w:r w:rsidRPr="002840A1">
        <w:t>months</w:t>
      </w:r>
      <w:r w:rsidR="007C5EC5">
        <w:t>;</w:t>
      </w:r>
      <w:proofErr w:type="gramEnd"/>
    </w:p>
    <w:p w14:paraId="36CAA05B" w14:textId="369AA7F1" w:rsidR="00A0251E" w:rsidRPr="00207240" w:rsidRDefault="00A0251E" w:rsidP="00303851">
      <w:pPr>
        <w:pStyle w:val="NoSpacing"/>
        <w:numPr>
          <w:ilvl w:val="0"/>
          <w:numId w:val="10"/>
        </w:numPr>
        <w:spacing w:line="276" w:lineRule="auto"/>
        <w:jc w:val="both"/>
      </w:pPr>
      <w:r w:rsidRPr="00207240">
        <w:t>Owner is over 18 years of age</w:t>
      </w:r>
      <w:r w:rsidR="007C5EC5">
        <w:t>.</w:t>
      </w:r>
    </w:p>
    <w:p w14:paraId="63CDDA77" w14:textId="77777777" w:rsidR="009A3201" w:rsidRPr="00207240" w:rsidRDefault="009A3201" w:rsidP="00303851">
      <w:pPr>
        <w:pStyle w:val="NoSpacing"/>
        <w:spacing w:line="276" w:lineRule="auto"/>
        <w:jc w:val="both"/>
      </w:pPr>
    </w:p>
    <w:p w14:paraId="793180A1" w14:textId="79197AE8" w:rsidR="009A3201" w:rsidRPr="007C5EC5" w:rsidRDefault="009A3201" w:rsidP="00303851">
      <w:pPr>
        <w:pStyle w:val="NoSpacing"/>
        <w:numPr>
          <w:ilvl w:val="0"/>
          <w:numId w:val="9"/>
        </w:numPr>
        <w:spacing w:line="276" w:lineRule="auto"/>
        <w:jc w:val="both"/>
        <w:rPr>
          <w:b/>
          <w:bCs/>
        </w:rPr>
      </w:pPr>
      <w:r w:rsidRPr="007C5EC5">
        <w:rPr>
          <w:b/>
          <w:bCs/>
        </w:rPr>
        <w:t>Proof of Residence</w:t>
      </w:r>
    </w:p>
    <w:p w14:paraId="7248087F" w14:textId="4E70EAEE" w:rsidR="007C5EC5" w:rsidRDefault="009A3201" w:rsidP="00303851">
      <w:pPr>
        <w:pStyle w:val="NoSpacing"/>
        <w:numPr>
          <w:ilvl w:val="0"/>
          <w:numId w:val="12"/>
        </w:numPr>
        <w:spacing w:line="276" w:lineRule="auto"/>
        <w:jc w:val="both"/>
      </w:pPr>
      <w:r w:rsidRPr="00207240">
        <w:t xml:space="preserve">Bank </w:t>
      </w:r>
      <w:r w:rsidR="002840A1">
        <w:t>s</w:t>
      </w:r>
      <w:r w:rsidRPr="00207240">
        <w:t xml:space="preserve">tatement or </w:t>
      </w:r>
      <w:r w:rsidR="00356624">
        <w:t>u</w:t>
      </w:r>
      <w:r w:rsidRPr="00207240">
        <w:t xml:space="preserve">tility </w:t>
      </w:r>
      <w:proofErr w:type="gramStart"/>
      <w:r w:rsidR="002840A1">
        <w:t>b</w:t>
      </w:r>
      <w:r w:rsidRPr="00207240">
        <w:t>ill</w:t>
      </w:r>
      <w:r w:rsidR="007C5EC5">
        <w:t>;</w:t>
      </w:r>
      <w:proofErr w:type="gramEnd"/>
    </w:p>
    <w:p w14:paraId="481EED19" w14:textId="3C4C2085" w:rsidR="007C5EC5" w:rsidRPr="007C5EC5" w:rsidRDefault="00C4716A" w:rsidP="00303851">
      <w:pPr>
        <w:pStyle w:val="NoSpacing"/>
        <w:numPr>
          <w:ilvl w:val="0"/>
          <w:numId w:val="12"/>
        </w:numPr>
        <w:spacing w:line="276" w:lineRule="auto"/>
        <w:jc w:val="both"/>
      </w:pPr>
      <w:r w:rsidRPr="00207240">
        <w:t xml:space="preserve">Country </w:t>
      </w:r>
      <w:r w:rsidR="002840A1">
        <w:t xml:space="preserve">of residence </w:t>
      </w:r>
      <w:r w:rsidRPr="00207240">
        <w:t xml:space="preserve">is not </w:t>
      </w:r>
      <w:r w:rsidR="00BF2CBC" w:rsidRPr="00207240">
        <w:t>one of the following</w:t>
      </w:r>
      <w:r w:rsidRPr="00207240">
        <w:t xml:space="preserve"> </w:t>
      </w:r>
      <w:r w:rsidR="00356624">
        <w:t>r</w:t>
      </w:r>
      <w:r w:rsidRPr="00207240">
        <w:t xml:space="preserve">estricted </w:t>
      </w:r>
      <w:r w:rsidR="00356624">
        <w:t>c</w:t>
      </w:r>
      <w:r w:rsidRPr="00207240">
        <w:t>ountr</w:t>
      </w:r>
      <w:r w:rsidR="00BF2CBC" w:rsidRPr="00207240">
        <w:t>ies</w:t>
      </w:r>
      <w:r w:rsidRPr="00207240">
        <w:t xml:space="preserve">: </w:t>
      </w:r>
    </w:p>
    <w:p w14:paraId="23B60F00" w14:textId="77777777" w:rsidR="007C5EC5" w:rsidRPr="007C5EC5" w:rsidRDefault="00C4716A" w:rsidP="00303851">
      <w:pPr>
        <w:pStyle w:val="NoSpacing"/>
        <w:numPr>
          <w:ilvl w:val="0"/>
          <w:numId w:val="13"/>
        </w:numPr>
        <w:spacing w:line="276" w:lineRule="auto"/>
        <w:jc w:val="both"/>
      </w:pPr>
      <w:r w:rsidRPr="007C5EC5">
        <w:rPr>
          <w:lang w:val="en-CA"/>
        </w:rPr>
        <w:t>Austri</w:t>
      </w:r>
      <w:r w:rsidR="007C5EC5">
        <w:rPr>
          <w:lang w:val="en-CA"/>
        </w:rPr>
        <w:t>a</w:t>
      </w:r>
    </w:p>
    <w:p w14:paraId="5904794B" w14:textId="77777777" w:rsidR="007C5EC5" w:rsidRDefault="00C4716A" w:rsidP="00303851">
      <w:pPr>
        <w:pStyle w:val="NoSpacing"/>
        <w:numPr>
          <w:ilvl w:val="0"/>
          <w:numId w:val="13"/>
        </w:numPr>
        <w:spacing w:line="276" w:lineRule="auto"/>
        <w:jc w:val="both"/>
      </w:pPr>
      <w:r w:rsidRPr="007C5EC5">
        <w:rPr>
          <w:lang w:val="en-CA"/>
        </w:rPr>
        <w:t xml:space="preserve">France and it’s </w:t>
      </w:r>
      <w:proofErr w:type="gramStart"/>
      <w:r w:rsidRPr="007C5EC5">
        <w:rPr>
          <w:lang w:val="en-CA"/>
        </w:rPr>
        <w:t>territories</w:t>
      </w:r>
      <w:proofErr w:type="gramEnd"/>
      <w:r w:rsidRPr="007C5EC5">
        <w:rPr>
          <w:lang w:val="en-CA"/>
        </w:rPr>
        <w:t xml:space="preserve"> </w:t>
      </w:r>
    </w:p>
    <w:p w14:paraId="502E87E9" w14:textId="77777777" w:rsidR="007C5EC5" w:rsidRDefault="00C4716A" w:rsidP="00303851">
      <w:pPr>
        <w:pStyle w:val="NoSpacing"/>
        <w:numPr>
          <w:ilvl w:val="0"/>
          <w:numId w:val="13"/>
        </w:numPr>
        <w:spacing w:line="276" w:lineRule="auto"/>
        <w:jc w:val="both"/>
      </w:pPr>
      <w:r w:rsidRPr="007C5EC5">
        <w:rPr>
          <w:lang w:val="en-CA"/>
        </w:rPr>
        <w:t>Germany</w:t>
      </w:r>
    </w:p>
    <w:p w14:paraId="0E074433" w14:textId="77777777" w:rsidR="007C5EC5" w:rsidRDefault="00C4716A" w:rsidP="00303851">
      <w:pPr>
        <w:pStyle w:val="NoSpacing"/>
        <w:numPr>
          <w:ilvl w:val="0"/>
          <w:numId w:val="13"/>
        </w:numPr>
        <w:spacing w:line="276" w:lineRule="auto"/>
        <w:jc w:val="both"/>
      </w:pPr>
      <w:r w:rsidRPr="007C5EC5">
        <w:rPr>
          <w:lang w:val="en-CA"/>
        </w:rPr>
        <w:t xml:space="preserve">Netherlands and it’s </w:t>
      </w:r>
      <w:proofErr w:type="gramStart"/>
      <w:r w:rsidRPr="007C5EC5">
        <w:rPr>
          <w:lang w:val="en-CA"/>
        </w:rPr>
        <w:t>territories</w:t>
      </w:r>
      <w:proofErr w:type="gramEnd"/>
    </w:p>
    <w:p w14:paraId="5ADDCE22" w14:textId="77777777" w:rsidR="007C5EC5" w:rsidRDefault="00C4716A" w:rsidP="00303851">
      <w:pPr>
        <w:pStyle w:val="NoSpacing"/>
        <w:numPr>
          <w:ilvl w:val="0"/>
          <w:numId w:val="13"/>
        </w:numPr>
        <w:spacing w:line="276" w:lineRule="auto"/>
        <w:jc w:val="both"/>
      </w:pPr>
      <w:r w:rsidRPr="007C5EC5">
        <w:rPr>
          <w:lang w:val="en-CA"/>
        </w:rPr>
        <w:t>Spain</w:t>
      </w:r>
    </w:p>
    <w:p w14:paraId="6DA87687" w14:textId="77777777" w:rsidR="007C5EC5" w:rsidRDefault="00C4716A" w:rsidP="00303851">
      <w:pPr>
        <w:pStyle w:val="NoSpacing"/>
        <w:numPr>
          <w:ilvl w:val="0"/>
          <w:numId w:val="13"/>
        </w:numPr>
        <w:spacing w:line="276" w:lineRule="auto"/>
        <w:jc w:val="both"/>
      </w:pPr>
      <w:r w:rsidRPr="007C5EC5">
        <w:rPr>
          <w:lang w:val="en-CA"/>
        </w:rPr>
        <w:t>Union of Comoros</w:t>
      </w:r>
    </w:p>
    <w:p w14:paraId="2A0AA84E" w14:textId="77777777" w:rsidR="007C5EC5" w:rsidRDefault="00C4716A" w:rsidP="00303851">
      <w:pPr>
        <w:pStyle w:val="NoSpacing"/>
        <w:numPr>
          <w:ilvl w:val="0"/>
          <w:numId w:val="13"/>
        </w:numPr>
        <w:spacing w:line="276" w:lineRule="auto"/>
        <w:jc w:val="both"/>
      </w:pPr>
      <w:r w:rsidRPr="007C5EC5">
        <w:rPr>
          <w:lang w:val="en-CA"/>
        </w:rPr>
        <w:t>United Kingdom</w:t>
      </w:r>
    </w:p>
    <w:p w14:paraId="375C44A3" w14:textId="77777777" w:rsidR="007C5EC5" w:rsidRDefault="00C4716A" w:rsidP="00303851">
      <w:pPr>
        <w:pStyle w:val="NoSpacing"/>
        <w:numPr>
          <w:ilvl w:val="0"/>
          <w:numId w:val="13"/>
        </w:numPr>
        <w:spacing w:line="276" w:lineRule="auto"/>
        <w:jc w:val="both"/>
      </w:pPr>
      <w:r w:rsidRPr="007C5EC5">
        <w:rPr>
          <w:lang w:val="en-CA"/>
        </w:rPr>
        <w:t xml:space="preserve">USA and it’s </w:t>
      </w:r>
      <w:proofErr w:type="gramStart"/>
      <w:r w:rsidRPr="007C5EC5">
        <w:rPr>
          <w:lang w:val="en-CA"/>
        </w:rPr>
        <w:t>territories</w:t>
      </w:r>
      <w:proofErr w:type="gramEnd"/>
    </w:p>
    <w:p w14:paraId="298E086D" w14:textId="77777777" w:rsidR="007C5EC5" w:rsidRDefault="00C4716A" w:rsidP="00303851">
      <w:pPr>
        <w:pStyle w:val="NoSpacing"/>
        <w:numPr>
          <w:ilvl w:val="0"/>
          <w:numId w:val="13"/>
        </w:numPr>
        <w:spacing w:line="276" w:lineRule="auto"/>
        <w:jc w:val="both"/>
      </w:pPr>
      <w:r w:rsidRPr="007C5EC5">
        <w:rPr>
          <w:lang w:val="en-CA"/>
        </w:rPr>
        <w:t xml:space="preserve">All FATF Blacklisted countries, </w:t>
      </w:r>
    </w:p>
    <w:p w14:paraId="3B175CE2" w14:textId="0CDA30C7" w:rsidR="00C4716A" w:rsidRPr="007C5EC5" w:rsidRDefault="00C4716A" w:rsidP="00303851">
      <w:pPr>
        <w:pStyle w:val="NoSpacing"/>
        <w:numPr>
          <w:ilvl w:val="0"/>
          <w:numId w:val="13"/>
        </w:numPr>
        <w:spacing w:line="276" w:lineRule="auto"/>
        <w:jc w:val="both"/>
      </w:pPr>
      <w:r w:rsidRPr="007C5EC5">
        <w:rPr>
          <w:lang w:val="en-CA"/>
        </w:rPr>
        <w:t>any other jurisdictions deemed prohibited by Anjouan Offshore Financial Authority.</w:t>
      </w:r>
      <w:r w:rsidRPr="007C5EC5">
        <w:rPr>
          <w:lang w:val="en-CA"/>
        </w:rPr>
        <w:br/>
      </w:r>
    </w:p>
    <w:p w14:paraId="59C9C618" w14:textId="4F886190" w:rsidR="007C5EC5" w:rsidRDefault="009A3201" w:rsidP="00303851">
      <w:pPr>
        <w:pStyle w:val="NoSpacing"/>
        <w:numPr>
          <w:ilvl w:val="0"/>
          <w:numId w:val="12"/>
        </w:numPr>
        <w:spacing w:line="276" w:lineRule="auto"/>
        <w:jc w:val="both"/>
      </w:pPr>
      <w:r w:rsidRPr="00207240">
        <w:t xml:space="preserve">Full Name matches client’s name and is </w:t>
      </w:r>
      <w:r w:rsidR="002840A1">
        <w:t>identical to client’s</w:t>
      </w:r>
      <w:r w:rsidRPr="00207240">
        <w:t xml:space="preserve"> </w:t>
      </w:r>
      <w:proofErr w:type="gramStart"/>
      <w:r w:rsidRPr="00207240">
        <w:t>ID</w:t>
      </w:r>
      <w:r w:rsidR="007C5EC5">
        <w:t>;</w:t>
      </w:r>
      <w:proofErr w:type="gramEnd"/>
    </w:p>
    <w:p w14:paraId="3E90FE29" w14:textId="127775E8" w:rsidR="009A3201" w:rsidRPr="00207240" w:rsidRDefault="00055811" w:rsidP="00303851">
      <w:pPr>
        <w:pStyle w:val="NoSpacing"/>
        <w:numPr>
          <w:ilvl w:val="0"/>
          <w:numId w:val="12"/>
        </w:numPr>
        <w:spacing w:line="276" w:lineRule="auto"/>
        <w:jc w:val="both"/>
      </w:pPr>
      <w:r>
        <w:t>Issued less than 3 months ago.</w:t>
      </w:r>
    </w:p>
    <w:p w14:paraId="1898C4AB" w14:textId="77777777" w:rsidR="009A3201" w:rsidRPr="007C5EC5" w:rsidRDefault="009A3201" w:rsidP="00303851">
      <w:pPr>
        <w:pStyle w:val="NoSpacing"/>
        <w:spacing w:line="276" w:lineRule="auto"/>
        <w:jc w:val="both"/>
        <w:rPr>
          <w:b/>
          <w:bCs/>
        </w:rPr>
      </w:pPr>
    </w:p>
    <w:p w14:paraId="14681D1C" w14:textId="525E4E0F" w:rsidR="009A3201" w:rsidRPr="007C5EC5" w:rsidRDefault="009A3201" w:rsidP="00303851">
      <w:pPr>
        <w:pStyle w:val="NoSpacing"/>
        <w:numPr>
          <w:ilvl w:val="0"/>
          <w:numId w:val="9"/>
        </w:numPr>
        <w:spacing w:line="276" w:lineRule="auto"/>
        <w:jc w:val="both"/>
        <w:rPr>
          <w:b/>
          <w:bCs/>
        </w:rPr>
      </w:pPr>
      <w:r w:rsidRPr="007C5EC5">
        <w:rPr>
          <w:b/>
          <w:bCs/>
        </w:rPr>
        <w:t xml:space="preserve">Selfie with ID </w:t>
      </w:r>
    </w:p>
    <w:p w14:paraId="48704AE3" w14:textId="024F66E3" w:rsidR="009A4715" w:rsidRDefault="009A3201" w:rsidP="00303851">
      <w:pPr>
        <w:pStyle w:val="NoSpacing"/>
        <w:numPr>
          <w:ilvl w:val="0"/>
          <w:numId w:val="14"/>
        </w:numPr>
        <w:spacing w:line="276" w:lineRule="auto"/>
        <w:jc w:val="both"/>
      </w:pPr>
      <w:r w:rsidRPr="00207240">
        <w:t xml:space="preserve">Holder is </w:t>
      </w:r>
      <w:r w:rsidR="007962D2">
        <w:t>identical to</w:t>
      </w:r>
      <w:r w:rsidRPr="00207240">
        <w:t xml:space="preserve"> the ID </w:t>
      </w:r>
      <w:proofErr w:type="gramStart"/>
      <w:r w:rsidRPr="00207240">
        <w:t>above</w:t>
      </w:r>
      <w:r w:rsidR="009A4715">
        <w:t>;</w:t>
      </w:r>
      <w:proofErr w:type="gramEnd"/>
    </w:p>
    <w:p w14:paraId="27AC7C7E" w14:textId="726BA68F" w:rsidR="009A3201" w:rsidRPr="007962D2" w:rsidRDefault="009A3201" w:rsidP="00864050">
      <w:pPr>
        <w:pStyle w:val="ListParagraph"/>
        <w:numPr>
          <w:ilvl w:val="0"/>
          <w:numId w:val="14"/>
        </w:numPr>
        <w:spacing w:line="276" w:lineRule="auto"/>
      </w:pPr>
      <w:r w:rsidRPr="007962D2">
        <w:rPr>
          <w:rFonts w:ascii="Georgia" w:hAnsi="Georgia"/>
        </w:rPr>
        <w:t xml:space="preserve">ID is </w:t>
      </w:r>
      <w:r w:rsidR="00356624" w:rsidRPr="007962D2">
        <w:rPr>
          <w:rFonts w:ascii="Georgia" w:hAnsi="Georgia"/>
        </w:rPr>
        <w:t>identical to</w:t>
      </w:r>
      <w:r w:rsidRPr="007962D2">
        <w:rPr>
          <w:rFonts w:ascii="Georgia" w:hAnsi="Georgia"/>
        </w:rPr>
        <w:t xml:space="preserve"> “1</w:t>
      </w:r>
      <w:r w:rsidR="007962D2">
        <w:rPr>
          <w:rFonts w:ascii="Georgia" w:hAnsi="Georgia"/>
        </w:rPr>
        <w:t>.</w:t>
      </w:r>
      <w:r w:rsidR="00356624" w:rsidRPr="007962D2">
        <w:rPr>
          <w:rFonts w:ascii="Georgia" w:hAnsi="Georgia"/>
        </w:rPr>
        <w:t xml:space="preserve"> </w:t>
      </w:r>
      <w:r w:rsidR="00356624" w:rsidRPr="00356624">
        <w:rPr>
          <w:rFonts w:ascii="Georgia" w:hAnsi="Georgia"/>
        </w:rPr>
        <w:t>Proof of ID</w:t>
      </w:r>
      <w:r w:rsidRPr="007962D2">
        <w:rPr>
          <w:rFonts w:ascii="Georgia" w:hAnsi="Georgia"/>
        </w:rPr>
        <w:t>”. Make sure photo/ID number is the same</w:t>
      </w:r>
      <w:r w:rsidR="009A4715" w:rsidRPr="007962D2">
        <w:rPr>
          <w:rFonts w:ascii="Georgia" w:hAnsi="Georgia"/>
        </w:rPr>
        <w:t>.</w:t>
      </w:r>
    </w:p>
    <w:p w14:paraId="2C09509C" w14:textId="77777777" w:rsidR="00CF6683" w:rsidRPr="00207240" w:rsidRDefault="00CF6683" w:rsidP="00303851">
      <w:pPr>
        <w:pStyle w:val="NoSpacing"/>
        <w:spacing w:line="276" w:lineRule="auto"/>
        <w:jc w:val="both"/>
      </w:pPr>
    </w:p>
    <w:p w14:paraId="2D26083A" w14:textId="526F3354" w:rsidR="00AA1249" w:rsidRPr="009A4715" w:rsidRDefault="00AA1249" w:rsidP="00303851">
      <w:pPr>
        <w:pStyle w:val="NoSpacing"/>
        <w:spacing w:line="276" w:lineRule="auto"/>
        <w:jc w:val="both"/>
        <w:rPr>
          <w:rFonts w:eastAsia="Arial"/>
          <w:b/>
          <w:bCs/>
        </w:rPr>
      </w:pPr>
      <w:r w:rsidRPr="009A4715">
        <w:rPr>
          <w:rFonts w:eastAsia="Arial"/>
          <w:b/>
          <w:bCs/>
        </w:rPr>
        <w:t>Notes</w:t>
      </w:r>
      <w:r w:rsidR="00CF6683" w:rsidRPr="009A4715">
        <w:rPr>
          <w:rFonts w:eastAsia="Arial"/>
          <w:b/>
          <w:bCs/>
        </w:rPr>
        <w:t xml:space="preserve"> on the “KYC Process”</w:t>
      </w:r>
    </w:p>
    <w:p w14:paraId="235E0229" w14:textId="3C217FBE" w:rsidR="009A4715" w:rsidRDefault="007962D2" w:rsidP="00303851">
      <w:pPr>
        <w:pStyle w:val="NoSpacing"/>
        <w:numPr>
          <w:ilvl w:val="0"/>
          <w:numId w:val="15"/>
        </w:numPr>
        <w:spacing w:line="276" w:lineRule="auto"/>
        <w:jc w:val="both"/>
      </w:pPr>
      <w:r>
        <w:t>If</w:t>
      </w:r>
      <w:r w:rsidR="00AA1249" w:rsidRPr="00207240">
        <w:t xml:space="preserve"> </w:t>
      </w:r>
      <w:r w:rsidR="00CF6683" w:rsidRPr="00207240">
        <w:t>the KYC process is unsuccessful</w:t>
      </w:r>
      <w:r>
        <w:t xml:space="preserve">, </w:t>
      </w:r>
      <w:r w:rsidR="00CF6683" w:rsidRPr="00207240">
        <w:t xml:space="preserve">the reason is </w:t>
      </w:r>
      <w:proofErr w:type="gramStart"/>
      <w:r w:rsidR="00CF6683" w:rsidRPr="00207240">
        <w:t>documented</w:t>
      </w:r>
      <w:proofErr w:type="gramEnd"/>
      <w:r w:rsidR="00CF6683" w:rsidRPr="00207240">
        <w:t xml:space="preserve"> and a</w:t>
      </w:r>
      <w:r w:rsidR="00777E66" w:rsidRPr="00207240">
        <w:t xml:space="preserve"> </w:t>
      </w:r>
      <w:r w:rsidR="00CF6683" w:rsidRPr="00207240">
        <w:t xml:space="preserve">support </w:t>
      </w:r>
      <w:r w:rsidR="00777E66" w:rsidRPr="00207240">
        <w:t xml:space="preserve">ticket </w:t>
      </w:r>
      <w:r w:rsidR="00CF6683" w:rsidRPr="00207240">
        <w:t xml:space="preserve">is created in the system. The ticket number along with an explanation </w:t>
      </w:r>
      <w:r w:rsidR="00521D34" w:rsidRPr="00207240">
        <w:t xml:space="preserve">is communicated back to the user. </w:t>
      </w:r>
    </w:p>
    <w:p w14:paraId="43C7D563" w14:textId="4F57FAD7" w:rsidR="00521D34" w:rsidRPr="00207240" w:rsidRDefault="00777E66" w:rsidP="00303851">
      <w:pPr>
        <w:pStyle w:val="NoSpacing"/>
        <w:numPr>
          <w:ilvl w:val="0"/>
          <w:numId w:val="15"/>
        </w:numPr>
        <w:spacing w:line="276" w:lineRule="auto"/>
        <w:jc w:val="both"/>
      </w:pPr>
      <w:r w:rsidRPr="00207240">
        <w:t>Once</w:t>
      </w:r>
      <w:r w:rsidR="00CF6683" w:rsidRPr="00207240">
        <w:t xml:space="preserve"> a</w:t>
      </w:r>
      <w:r w:rsidRPr="00207240">
        <w:t>ll proper d</w:t>
      </w:r>
      <w:r w:rsidR="00A0251E" w:rsidRPr="00207240">
        <w:t>o</w:t>
      </w:r>
      <w:r w:rsidRPr="00207240">
        <w:t xml:space="preserve">cuments </w:t>
      </w:r>
      <w:r w:rsidR="00CF6683" w:rsidRPr="00207240">
        <w:t>are in our possessio</w:t>
      </w:r>
      <w:r w:rsidR="00356624">
        <w:t xml:space="preserve">n, </w:t>
      </w:r>
      <w:r w:rsidR="00CF6683" w:rsidRPr="00207240">
        <w:t xml:space="preserve">the account gets approved. </w:t>
      </w:r>
    </w:p>
    <w:p w14:paraId="5228146C" w14:textId="0D7E2908" w:rsidR="003E3B2D" w:rsidRPr="00713232" w:rsidRDefault="003E3B2D" w:rsidP="00303851">
      <w:pPr>
        <w:pStyle w:val="NoSpacing"/>
        <w:spacing w:line="276" w:lineRule="auto"/>
        <w:jc w:val="both"/>
        <w:rPr>
          <w:rFonts w:ascii="Arial" w:hAnsi="Arial"/>
        </w:rPr>
      </w:pPr>
      <w:r w:rsidRPr="00713232">
        <w:rPr>
          <w:rFonts w:ascii="Arial" w:hAnsi="Arial"/>
        </w:rPr>
        <w:t xml:space="preserve"> </w:t>
      </w:r>
    </w:p>
    <w:sectPr w:rsidR="003E3B2D" w:rsidRPr="00713232" w:rsidSect="00CF6683">
      <w:pgSz w:w="11906" w:h="16838"/>
      <w:pgMar w:top="1134" w:right="991"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A58"/>
    <w:multiLevelType w:val="hybridMultilevel"/>
    <w:tmpl w:val="FB7A3454"/>
    <w:lvl w:ilvl="0" w:tplc="04050017">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832EE1"/>
    <w:multiLevelType w:val="hybridMultilevel"/>
    <w:tmpl w:val="2F98320E"/>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32321D1"/>
    <w:multiLevelType w:val="hybridMultilevel"/>
    <w:tmpl w:val="07C8C6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1E7482"/>
    <w:multiLevelType w:val="hybridMultilevel"/>
    <w:tmpl w:val="80B4E35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C1970C7"/>
    <w:multiLevelType w:val="hybridMultilevel"/>
    <w:tmpl w:val="634E07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760A63"/>
    <w:multiLevelType w:val="hybridMultilevel"/>
    <w:tmpl w:val="7464819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6" w15:restartNumberingAfterBreak="0">
    <w:nsid w:val="44732EB2"/>
    <w:multiLevelType w:val="hybridMultilevel"/>
    <w:tmpl w:val="417E10C2"/>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7" w15:restartNumberingAfterBreak="0">
    <w:nsid w:val="46F55D56"/>
    <w:multiLevelType w:val="hybridMultilevel"/>
    <w:tmpl w:val="F22C1E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D248B7"/>
    <w:multiLevelType w:val="hybridMultilevel"/>
    <w:tmpl w:val="503EE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E14DE2"/>
    <w:multiLevelType w:val="hybridMultilevel"/>
    <w:tmpl w:val="0FD81BF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762F71"/>
    <w:multiLevelType w:val="hybridMultilevel"/>
    <w:tmpl w:val="4A506E92"/>
    <w:lvl w:ilvl="0" w:tplc="893A216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E3A14E0"/>
    <w:multiLevelType w:val="hybridMultilevel"/>
    <w:tmpl w:val="E4C4B9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8B7DC5"/>
    <w:multiLevelType w:val="hybridMultilevel"/>
    <w:tmpl w:val="34DA112E"/>
    <w:lvl w:ilvl="0" w:tplc="5CDA9C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EA3882"/>
    <w:multiLevelType w:val="hybridMultilevel"/>
    <w:tmpl w:val="08D633A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543309"/>
    <w:multiLevelType w:val="hybridMultilevel"/>
    <w:tmpl w:val="72D6F9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0153162">
    <w:abstractNumId w:val="14"/>
  </w:num>
  <w:num w:numId="2" w16cid:durableId="88625956">
    <w:abstractNumId w:val="12"/>
  </w:num>
  <w:num w:numId="3" w16cid:durableId="1981495344">
    <w:abstractNumId w:val="7"/>
  </w:num>
  <w:num w:numId="4" w16cid:durableId="918177429">
    <w:abstractNumId w:val="10"/>
  </w:num>
  <w:num w:numId="5" w16cid:durableId="381906356">
    <w:abstractNumId w:val="8"/>
  </w:num>
  <w:num w:numId="6" w16cid:durableId="1868985702">
    <w:abstractNumId w:val="9"/>
  </w:num>
  <w:num w:numId="7" w16cid:durableId="2132631412">
    <w:abstractNumId w:val="13"/>
  </w:num>
  <w:num w:numId="8" w16cid:durableId="1144930175">
    <w:abstractNumId w:val="4"/>
  </w:num>
  <w:num w:numId="9" w16cid:durableId="964584624">
    <w:abstractNumId w:val="11"/>
  </w:num>
  <w:num w:numId="10" w16cid:durableId="953363348">
    <w:abstractNumId w:val="0"/>
  </w:num>
  <w:num w:numId="11" w16cid:durableId="831146603">
    <w:abstractNumId w:val="5"/>
  </w:num>
  <w:num w:numId="12" w16cid:durableId="706224444">
    <w:abstractNumId w:val="3"/>
  </w:num>
  <w:num w:numId="13" w16cid:durableId="1218735516">
    <w:abstractNumId w:val="6"/>
  </w:num>
  <w:num w:numId="14" w16cid:durableId="649948541">
    <w:abstractNumId w:val="1"/>
  </w:num>
  <w:num w:numId="15" w16cid:durableId="139344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0sbQ0tTA2MjE0NbdQ0lEKTi0uzszPAykwrAUA7q+EfSwAAAA="/>
  </w:docVars>
  <w:rsids>
    <w:rsidRoot w:val="00717289"/>
    <w:rsid w:val="00055811"/>
    <w:rsid w:val="00080AFB"/>
    <w:rsid w:val="0008382A"/>
    <w:rsid w:val="001561C4"/>
    <w:rsid w:val="00175554"/>
    <w:rsid w:val="00195338"/>
    <w:rsid w:val="00207240"/>
    <w:rsid w:val="002840A1"/>
    <w:rsid w:val="00303851"/>
    <w:rsid w:val="00356624"/>
    <w:rsid w:val="0038269B"/>
    <w:rsid w:val="003B2109"/>
    <w:rsid w:val="003E3B2D"/>
    <w:rsid w:val="00406894"/>
    <w:rsid w:val="00483F6C"/>
    <w:rsid w:val="004C0492"/>
    <w:rsid w:val="004F793D"/>
    <w:rsid w:val="00521D34"/>
    <w:rsid w:val="006E5A44"/>
    <w:rsid w:val="00701FF3"/>
    <w:rsid w:val="00713232"/>
    <w:rsid w:val="00717289"/>
    <w:rsid w:val="00777E66"/>
    <w:rsid w:val="007962D2"/>
    <w:rsid w:val="007B05F3"/>
    <w:rsid w:val="007B4AF1"/>
    <w:rsid w:val="007C5EC5"/>
    <w:rsid w:val="007F5BF4"/>
    <w:rsid w:val="0085585C"/>
    <w:rsid w:val="00864050"/>
    <w:rsid w:val="00864091"/>
    <w:rsid w:val="008901C3"/>
    <w:rsid w:val="008C0719"/>
    <w:rsid w:val="008F1C53"/>
    <w:rsid w:val="00924D74"/>
    <w:rsid w:val="00936B5F"/>
    <w:rsid w:val="00983120"/>
    <w:rsid w:val="009A3201"/>
    <w:rsid w:val="009A4715"/>
    <w:rsid w:val="009F75A3"/>
    <w:rsid w:val="00A0251E"/>
    <w:rsid w:val="00A83C43"/>
    <w:rsid w:val="00AA1249"/>
    <w:rsid w:val="00AB2A49"/>
    <w:rsid w:val="00AB5EF8"/>
    <w:rsid w:val="00B3178F"/>
    <w:rsid w:val="00BB6FED"/>
    <w:rsid w:val="00BD5E9B"/>
    <w:rsid w:val="00BF2CBC"/>
    <w:rsid w:val="00C4716A"/>
    <w:rsid w:val="00C7276A"/>
    <w:rsid w:val="00CF6683"/>
    <w:rsid w:val="00D00564"/>
    <w:rsid w:val="00E85E0B"/>
    <w:rsid w:val="00E922C1"/>
    <w:rsid w:val="00ED4DD7"/>
    <w:rsid w:val="00F54C21"/>
    <w:rsid w:val="00F75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92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232"/>
    <w:pPr>
      <w:keepNext/>
      <w:keepLines/>
      <w:spacing w:before="240" w:after="0"/>
      <w:outlineLvl w:val="0"/>
    </w:pPr>
    <w:rPr>
      <w:rFonts w:asciiTheme="majorHAnsi" w:eastAsiaTheme="majorEastAsia" w:hAnsiTheme="majorHAnsi" w:cstheme="majorBidi"/>
      <w:color w:val="2F5496" w:themeColor="accent1" w:themeShade="BF"/>
      <w:sz w:val="32"/>
      <w:szCs w:val="32"/>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E0B"/>
    <w:pPr>
      <w:ind w:left="720"/>
      <w:contextualSpacing/>
    </w:pPr>
  </w:style>
  <w:style w:type="character" w:customStyle="1" w:styleId="il">
    <w:name w:val="il"/>
    <w:basedOn w:val="DefaultParagraphFont"/>
    <w:rsid w:val="009A3201"/>
  </w:style>
  <w:style w:type="paragraph" w:styleId="EnvelopeAddress">
    <w:name w:val="envelope address"/>
    <w:basedOn w:val="Normal"/>
    <w:uiPriority w:val="99"/>
    <w:unhideWhenUsed/>
    <w:rsid w:val="00521D3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713232"/>
    <w:rPr>
      <w:rFonts w:asciiTheme="majorHAnsi" w:eastAsiaTheme="majorEastAsia" w:hAnsiTheme="majorHAnsi" w:cstheme="majorBidi"/>
      <w:color w:val="2F5496" w:themeColor="accent1" w:themeShade="BF"/>
      <w:sz w:val="32"/>
      <w:szCs w:val="32"/>
      <w:lang w:val="de-AT"/>
    </w:rPr>
  </w:style>
  <w:style w:type="character" w:styleId="Hyperlink">
    <w:name w:val="Hyperlink"/>
    <w:basedOn w:val="DefaultParagraphFont"/>
    <w:uiPriority w:val="99"/>
    <w:unhideWhenUsed/>
    <w:rsid w:val="00713232"/>
    <w:rPr>
      <w:color w:val="0563C1" w:themeColor="hyperlink"/>
      <w:u w:val="single"/>
    </w:rPr>
  </w:style>
  <w:style w:type="character" w:styleId="UnresolvedMention">
    <w:name w:val="Unresolved Mention"/>
    <w:basedOn w:val="DefaultParagraphFont"/>
    <w:uiPriority w:val="99"/>
    <w:semiHidden/>
    <w:unhideWhenUsed/>
    <w:rsid w:val="00713232"/>
    <w:rPr>
      <w:color w:val="605E5C"/>
      <w:shd w:val="clear" w:color="auto" w:fill="E1DFDD"/>
    </w:rPr>
  </w:style>
  <w:style w:type="paragraph" w:styleId="NormalWeb">
    <w:name w:val="Normal (Web)"/>
    <w:basedOn w:val="Normal"/>
    <w:uiPriority w:val="99"/>
    <w:semiHidden/>
    <w:unhideWhenUsed/>
    <w:rsid w:val="001561C4"/>
    <w:rPr>
      <w:rFonts w:ascii="Times New Roman" w:hAnsi="Times New Roman" w:cs="Times New Roman"/>
      <w:sz w:val="24"/>
      <w:szCs w:val="24"/>
    </w:rPr>
  </w:style>
  <w:style w:type="paragraph" w:styleId="NoSpacing">
    <w:name w:val="No Spacing"/>
    <w:uiPriority w:val="1"/>
    <w:qFormat/>
    <w:rsid w:val="00207240"/>
    <w:pPr>
      <w:spacing w:after="0" w:line="240" w:lineRule="auto"/>
    </w:pPr>
    <w:rPr>
      <w:rFonts w:ascii="Georgia" w:hAnsi="Georgia"/>
    </w:rPr>
  </w:style>
  <w:style w:type="paragraph" w:styleId="Revision">
    <w:name w:val="Revision"/>
    <w:hidden/>
    <w:uiPriority w:val="99"/>
    <w:semiHidden/>
    <w:rsid w:val="002840A1"/>
    <w:pPr>
      <w:spacing w:after="0" w:line="240" w:lineRule="auto"/>
    </w:pPr>
  </w:style>
  <w:style w:type="character" w:styleId="CommentReference">
    <w:name w:val="annotation reference"/>
    <w:basedOn w:val="DefaultParagraphFont"/>
    <w:uiPriority w:val="99"/>
    <w:semiHidden/>
    <w:unhideWhenUsed/>
    <w:rsid w:val="002840A1"/>
    <w:rPr>
      <w:sz w:val="16"/>
      <w:szCs w:val="16"/>
    </w:rPr>
  </w:style>
  <w:style w:type="paragraph" w:styleId="CommentText">
    <w:name w:val="annotation text"/>
    <w:basedOn w:val="Normal"/>
    <w:link w:val="CommentTextChar"/>
    <w:uiPriority w:val="99"/>
    <w:semiHidden/>
    <w:unhideWhenUsed/>
    <w:rsid w:val="002840A1"/>
    <w:pPr>
      <w:spacing w:line="240" w:lineRule="auto"/>
    </w:pPr>
    <w:rPr>
      <w:sz w:val="20"/>
      <w:szCs w:val="20"/>
    </w:rPr>
  </w:style>
  <w:style w:type="character" w:customStyle="1" w:styleId="CommentTextChar">
    <w:name w:val="Comment Text Char"/>
    <w:basedOn w:val="DefaultParagraphFont"/>
    <w:link w:val="CommentText"/>
    <w:uiPriority w:val="99"/>
    <w:semiHidden/>
    <w:rsid w:val="002840A1"/>
    <w:rPr>
      <w:sz w:val="20"/>
      <w:szCs w:val="20"/>
    </w:rPr>
  </w:style>
  <w:style w:type="paragraph" w:styleId="CommentSubject">
    <w:name w:val="annotation subject"/>
    <w:basedOn w:val="CommentText"/>
    <w:next w:val="CommentText"/>
    <w:link w:val="CommentSubjectChar"/>
    <w:uiPriority w:val="99"/>
    <w:semiHidden/>
    <w:unhideWhenUsed/>
    <w:rsid w:val="002840A1"/>
    <w:rPr>
      <w:b/>
      <w:bCs/>
    </w:rPr>
  </w:style>
  <w:style w:type="character" w:customStyle="1" w:styleId="CommentSubjectChar">
    <w:name w:val="Comment Subject Char"/>
    <w:basedOn w:val="CommentTextChar"/>
    <w:link w:val="CommentSubject"/>
    <w:uiPriority w:val="99"/>
    <w:semiHidden/>
    <w:rsid w:val="002840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65286">
      <w:bodyDiv w:val="1"/>
      <w:marLeft w:val="0"/>
      <w:marRight w:val="0"/>
      <w:marTop w:val="0"/>
      <w:marBottom w:val="0"/>
      <w:divBdr>
        <w:top w:val="none" w:sz="0" w:space="0" w:color="auto"/>
        <w:left w:val="none" w:sz="0" w:space="0" w:color="auto"/>
        <w:bottom w:val="none" w:sz="0" w:space="0" w:color="auto"/>
        <w:right w:val="none" w:sz="0" w:space="0" w:color="auto"/>
      </w:divBdr>
    </w:div>
    <w:div w:id="188687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FF272E6FCF074B8C80229815929A14" ma:contentTypeVersion="8" ma:contentTypeDescription="Create a new document." ma:contentTypeScope="" ma:versionID="cccc55abe11250594645b67829a2d650">
  <xsd:schema xmlns:xsd="http://www.w3.org/2001/XMLSchema" xmlns:xs="http://www.w3.org/2001/XMLSchema" xmlns:p="http://schemas.microsoft.com/office/2006/metadata/properties" xmlns:ns2="ca910183-f47f-4de2-ac34-0cf1562592ae" xmlns:ns3="8add8ffc-63b2-4535-ab4f-5d52e8874466" targetNamespace="http://schemas.microsoft.com/office/2006/metadata/properties" ma:root="true" ma:fieldsID="8d163933edecad1f5a90e415b14ce5a0" ns2:_="" ns3:_="">
    <xsd:import namespace="ca910183-f47f-4de2-ac34-0cf1562592ae"/>
    <xsd:import namespace="8add8ffc-63b2-4535-ab4f-5d52e88744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10183-f47f-4de2-ac34-0cf156259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d8ffc-63b2-4535-ab4f-5d52e887446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DB4F6-E338-4284-BEAE-B45DDC266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F0F083-1F03-4E53-9295-2546CE2E29C0}">
  <ds:schemaRefs>
    <ds:schemaRef ds:uri="http://schemas.microsoft.com/sharepoint/v3/contenttype/forms"/>
  </ds:schemaRefs>
</ds:datastoreItem>
</file>

<file path=customXml/itemProps3.xml><?xml version="1.0" encoding="utf-8"?>
<ds:datastoreItem xmlns:ds="http://schemas.openxmlformats.org/officeDocument/2006/customXml" ds:itemID="{F1514B32-DCCC-4ADF-8164-0CA13712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10183-f47f-4de2-ac34-0cf1562592ae"/>
    <ds:schemaRef ds:uri="8add8ffc-63b2-4535-ab4f-5d52e8874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EFC63-4E9A-914A-861B-5B4FB230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2705</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2024-08-22T11:37:00Z</dcterms:created>
  <dcterms:modified xsi:type="dcterms:W3CDTF">2024-08-22T11:38:00Z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0x01010097FF272E6FCF074B8C80229815929A14</vt:lpwstr>
  </property>
</Properties>
</file>